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hint="eastAsia" w:ascii="小标宋" w:hAnsi="小标宋" w:eastAsia="小标宋" w:cs="小标宋"/>
          <w:snapToGrid w:val="0"/>
          <w:kern w:val="0"/>
          <w:sz w:val="44"/>
          <w:szCs w:val="44"/>
        </w:rPr>
      </w:pP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hint="eastAsia" w:ascii="小标宋" w:hAnsi="小标宋" w:eastAsia="小标宋" w:cs="小标宋"/>
          <w:snapToGrid w:val="0"/>
          <w:kern w:val="0"/>
          <w:sz w:val="44"/>
          <w:szCs w:val="44"/>
        </w:rPr>
      </w:pP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hint="eastAsia" w:ascii="小标宋" w:hAnsi="小标宋" w:eastAsia="小标宋" w:cs="小标宋"/>
          <w:snapToGrid w:val="0"/>
          <w:kern w:val="0"/>
          <w:sz w:val="44"/>
          <w:szCs w:val="44"/>
        </w:rPr>
      </w:pP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hint="eastAsia" w:ascii="小标宋" w:hAnsi="小标宋" w:eastAsia="小标宋" w:cs="小标宋"/>
          <w:snapToGrid w:val="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snapToGrid w:val="0"/>
          <w:kern w:val="0"/>
          <w:sz w:val="44"/>
          <w:szCs w:val="44"/>
        </w:rPr>
        <w:t>关于印发《</w:t>
      </w:r>
      <w:r>
        <w:rPr>
          <w:rFonts w:hint="eastAsia" w:ascii="小标宋" w:hAnsi="小标宋" w:eastAsia="小标宋" w:cs="小标宋"/>
          <w:snapToGrid w:val="0"/>
          <w:kern w:val="0"/>
          <w:sz w:val="44"/>
          <w:szCs w:val="44"/>
          <w:lang w:val="en-US" w:eastAsia="zh-CN" w:bidi="ar-SA"/>
        </w:rPr>
        <w:t>西安科技大学关于审计结果公开的管理办法（试行）</w:t>
      </w:r>
      <w:r>
        <w:rPr>
          <w:rFonts w:hint="eastAsia" w:ascii="小标宋" w:hAnsi="小标宋" w:eastAsia="小标宋" w:cs="小标宋"/>
          <w:snapToGrid w:val="0"/>
          <w:kern w:val="0"/>
          <w:sz w:val="44"/>
          <w:szCs w:val="44"/>
        </w:rPr>
        <w:t>》的通知</w:t>
      </w:r>
    </w:p>
    <w:p>
      <w:pPr>
        <w:widowControl/>
        <w:spacing w:line="540" w:lineRule="exact"/>
        <w:rPr>
          <w:rFonts w:hint="eastAsia" w:ascii="楷体_GB2312" w:hAnsi="楷体" w:eastAsia="楷体_GB2312" w:cs="楷体"/>
          <w:snapToGrid w:val="0"/>
          <w:kern w:val="0"/>
          <w:szCs w:val="32"/>
        </w:rPr>
      </w:pPr>
    </w:p>
    <w:p>
      <w:pPr>
        <w:spacing w:line="338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spacing w:line="338" w:lineRule="auto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各单位、各部门：</w:t>
      </w: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cs="宋体"/>
          <w:color w:val="auto"/>
          <w:kern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西安科技大学关于审计结果公开的管理办法（试行）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》已经学校2018年第11次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校长办公会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审议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通过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，现印发你们，请遵照执行。</w:t>
      </w:r>
    </w:p>
    <w:p>
      <w:pPr>
        <w:spacing w:line="338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spacing w:line="338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spacing w:line="338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spacing w:line="338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            </w:t>
      </w:r>
    </w:p>
    <w:p>
      <w:pPr>
        <w:spacing w:line="338" w:lineRule="auto"/>
        <w:ind w:firstLine="4480" w:firstLineChars="16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spacing w:line="338" w:lineRule="auto"/>
        <w:ind w:firstLine="4480" w:firstLineChars="16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西安科技大学</w:t>
      </w:r>
    </w:p>
    <w:p>
      <w:pPr>
        <w:spacing w:line="338" w:lineRule="auto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                           2018年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日</w:t>
      </w:r>
    </w:p>
    <w:p>
      <w:pPr>
        <w:pStyle w:val="3"/>
        <w:shd w:val="clear" w:color="auto" w:fill="FFFFFF"/>
        <w:spacing w:before="150" w:beforeAutospacing="0" w:after="150" w:afterAutospacing="0"/>
        <w:jc w:val="both"/>
        <w:rPr>
          <w:rFonts w:hint="eastAsia" w:ascii="黑体" w:eastAsia="黑体"/>
          <w:color w:val="000000"/>
          <w:sz w:val="36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hint="eastAsia" w:ascii="黑体" w:eastAsia="黑体"/>
          <w:color w:val="000000"/>
          <w:sz w:val="36"/>
          <w:szCs w:val="21"/>
        </w:rPr>
      </w:pPr>
      <w:r>
        <w:rPr>
          <w:rFonts w:hint="eastAsia" w:ascii="黑体" w:eastAsia="黑体"/>
          <w:color w:val="000000"/>
          <w:sz w:val="36"/>
          <w:szCs w:val="21"/>
        </w:rPr>
        <w:t>西安科技大学</w:t>
      </w: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ascii="黑体" w:eastAsia="黑体"/>
          <w:color w:val="000000"/>
          <w:sz w:val="36"/>
          <w:szCs w:val="21"/>
        </w:rPr>
      </w:pPr>
      <w:r>
        <w:rPr>
          <w:rFonts w:hint="eastAsia" w:ascii="黑体" w:eastAsia="黑体"/>
          <w:color w:val="000000"/>
          <w:sz w:val="36"/>
          <w:szCs w:val="21"/>
        </w:rPr>
        <w:t>关于审计结果公开的管理办法（试行）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第一条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为规范审计结果公开行为，提高审计工作透明度，充分发挥审计监督作用，根据《中华人民共和国审计法》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《审计署关于内部审计工作的规定》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(2018年第11号令 )教育部《教育系统内部审计工作规定》（2004年第17号令）和教育厅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《陕西省教育系统内部审计工作实施办法》（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陕教规范[2018]7号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等法律规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章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并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结合本校实际，制定本办法。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第二条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本办法适用于审计处向校内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外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公开审计结果工作。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第三条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本办法所称审计结果，是指学校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内部审计部门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依据国家有关法律规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章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和学校有关制度，对学校及所属单位的经济与管理活动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进行审计后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形成结论性审计文书。主要包括审计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自行安排完成的审计项目出具的审计报告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、由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审计处委托社会中介机构完成的审计项目并出具的审计报告、以及5万元以下的基建、修缮工程项目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备案资料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  <w:t>等。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 xml:space="preserve">第四条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本办法所称审计结果公开，是指根据国家有关法规和学校内部有关制度，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以有利于问题整改和解决的原则，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按照有关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程序，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在校内或校内一定范围对内部审计事项和审计结果进行公布。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 xml:space="preserve">第五条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审计结果公开原则：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（一）实事求是原则。应积极稳妥、注重效果、事实清楚，数据可靠，定性准确，评价客观公正。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（二）保守秘密原则。应严格遵守国家、学校的有关保密规定，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保守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学校、被审计单位的商业秘密以及个人隐私。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（三）坚持时效性、重点性原则。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应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做到重点突出，及时公开。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（四）依法依规原则。应符合国家有关法律规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章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和学校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有关制度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（五）坚持有利于规范管理、严格审批程序和权限的原则。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第六条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审计结果公开的方式：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（一）通过学校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主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页或审计处网页发布；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（二）通过会议、文件或审计处编印的有关简报等形式公告；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（三）其他适当的形式。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第七条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审计结果公开的范围：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（一）学校财务预算执行情况和财务决算的审计结果；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（二）学校控股企业财务状况和经营损益的审计结果；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（三）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学校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处级领导干部和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校办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企业负责人任期（中）经济责任审计结果；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（四）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学校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专项资金审计、绩效审计和财务收支审计的审计结果；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（五）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学校所属各单位、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部门内部控制审计情况；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（六）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学校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基建、修缮工程项目的审计情况；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（七）其他需要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的审计事项。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第八条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 审计结果公开的内容：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（一）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被审计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单位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基本情况及审计评价意见；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（二） 审计发现的主要问题；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（三） 审计处理意见及改进建议；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（四） 被审计单位对审计披露问题的整改情况；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（五） 其他需要公开的情况。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 xml:space="preserve">第九条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审计结果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的组织及程序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（一）审计结果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按规定程序报批，由审计处负责组织实施。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（二）凡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需公开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的审计结果，审计处必须填写《审计结果公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审批单》，拟稿需要公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的审计事项（包括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公开的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内容、公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方式、公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范围等），履行规定的审批手续后方可公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（三）审计结果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按照以下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流程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办理审批手续：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1、学校预算执行情况和学校其他财务收支的审计结果、重要审计事项的审计结果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公开，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必须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先呈送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分管审计工作的校领导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审阅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再呈送校长批准后，提交校长办公会议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校党委会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议研究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2、处级领导干部和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校办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企业负责人任期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（中）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经济责任审计结果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的公开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必须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先呈送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分管审计工作的校领导和分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管被审计人员所属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单位、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部门的校领导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审阅，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再呈送校长批准后，提交校长办公会议或校党委会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议研究。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3、学校控股企业的审计结果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必须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先呈送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分管审计工作的校领导和分管经营性资产工作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的校领导审阅，再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提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交校长办公会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议研究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4、基建工程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项目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审定金额在200万元以上（含200万元）的审计报告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必须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先呈送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分管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基建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工作的校领导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分管审计工作的校领导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审阅，再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提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交校长办公会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议研究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5、修缮工程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项目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审定金额在50万元以上（含50万元）审计报告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必须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先呈送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项目建设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单位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校领导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分管审计的校领导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审阅，再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提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交校长办公会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议研究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、修缮工程金额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在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50万元以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下的项目，如在审计中发现重大问题，也需提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交校长办公会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议研究。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>7、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其他审计事项的审计结果的公开，由学校有关会议研究决定。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 xml:space="preserve">第十条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审计结果公开，应按照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审计法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的有关规定，在审计报告征求意见时，告知被审计单位将以适当方式公开审计结果。公开时一般不再征求意见，但被审计单位对审计报告有重大分歧意见的，必须再次征求意见，在事实和定性等主要问题上取得一致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综合性的审计结果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如需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公开，应在所反映事项的审计报告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审计调查报告等审计结论性文书生效后进行。如被审计单位对审计结果提请裁决、申请复议或者提起诉讼的，应在裁决、复议、诉讼结束后进行。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第十二条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公开审计结果形成的有关材料，应当按照有关规定整理归档。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第十三条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违反本办法规定，有下列行为之一的，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根据有关规定给予相应处理。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（一）未经批准擅自公开审计结果的；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（二）泄漏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学校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秘密或被审计单位秘密的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；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）阻碍审计结果公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eastAsia="zh-CN"/>
        </w:rPr>
        <w:t>开、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>报复陷害审计人员的。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>第十四条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</w:rPr>
        <w:t xml:space="preserve"> 本办法由审计处负责解释。</w:t>
      </w:r>
    </w:p>
    <w:p>
      <w:pPr>
        <w:widowControl/>
        <w:shd w:val="clear" w:color="auto" w:fill="FFFFFF"/>
        <w:spacing w:line="520" w:lineRule="exact"/>
        <w:ind w:firstLine="480"/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</w:rPr>
        <w:t xml:space="preserve">第十五条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本办法经校长办公会议审议通过，自印发之日起施行。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ind w:firstLine="2520" w:firstLineChars="700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审计结果公开批示单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3"/>
        <w:gridCol w:w="3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审计项目名称：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审计结果公开的主要内容：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审计结果公开方式：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51435</wp:posOffset>
                      </wp:positionV>
                      <wp:extent cx="262255" cy="248285"/>
                      <wp:effectExtent l="5080" t="4445" r="18415" b="13970"/>
                      <wp:wrapNone/>
                      <wp:docPr id="4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19.4pt;margin-top:4.05pt;height:19.55pt;width:20.65pt;z-index:251658240;mso-width-relative:page;mso-height-relative:page;" fillcolor="#FFFFFF" filled="t" stroked="t" coordsize="21600,21600" o:gfxdata="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dNxyO1gAAAAgBAAAPAAAA&#10;AAAAAAEAIAAAACIAAABkcnMvZG93bnJldi54bWxQSwECFAAUAAAACACHTuJAxCr38d4BAADPAwAA&#10;DgAAAAAAAAABACAAAAAl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1.学校主页或审计处网页公开 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80010</wp:posOffset>
                      </wp:positionV>
                      <wp:extent cx="262255" cy="248285"/>
                      <wp:effectExtent l="5080" t="4445" r="18415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9.65pt;margin-top:6.3pt;height:19.55pt;width:20.65pt;z-index:251659264;mso-width-relative:page;mso-height-relative:page;" fillcolor="#FFFFFF" filled="t" stroked="t" coordsize="21600,21600" o:gfxdata="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zkae2AAAAAkBAAAP&#10;AAAAAAAAAAEAIAAAACIAAABkcnMvZG93bnJldi54bWxQSwECFAAUAAAACACHTuJAS2Cix98BAADP&#10;AwAADgAAAAAAAAABACAAAAAn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2.会议、文件或有关简报形式公开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88900</wp:posOffset>
                      </wp:positionV>
                      <wp:extent cx="262255" cy="248285"/>
                      <wp:effectExtent l="5080" t="4445" r="18415" b="13970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19.45pt;margin-top:7pt;height:19.55pt;width:20.65pt;z-index:251660288;mso-width-relative:page;mso-height-relative:page;" fillcolor="#FFFFFF" filled="t" stroked="t" coordsize="21600,21600" o:gfxdata="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MzhqNcAAAAJAQAADwAA&#10;AAAAAAABACAAAAAiAAAAZHJzL2Rvd25yZXYueG1sUEsBAhQAFAAAAAgAh07iQCyStvTeAQAAzwMA&#10;AA4AAAAAAAAAAQAgAAAAJ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3.其他形式公开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分管审计工作校领导意见：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458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被审计单位意见：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400" w:firstLineChars="5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  <w:tc>
          <w:tcPr>
            <w:tcW w:w="393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E13A3"/>
    <w:rsid w:val="066330CC"/>
    <w:rsid w:val="090C13D5"/>
    <w:rsid w:val="0B323224"/>
    <w:rsid w:val="0D0E4A96"/>
    <w:rsid w:val="0F6E38EF"/>
    <w:rsid w:val="15E92CE4"/>
    <w:rsid w:val="17FB33D5"/>
    <w:rsid w:val="186F04C0"/>
    <w:rsid w:val="18D35513"/>
    <w:rsid w:val="1C026623"/>
    <w:rsid w:val="22103AD4"/>
    <w:rsid w:val="222246EC"/>
    <w:rsid w:val="2662266A"/>
    <w:rsid w:val="28A73A13"/>
    <w:rsid w:val="2E1B55C8"/>
    <w:rsid w:val="3AA23AC0"/>
    <w:rsid w:val="3D2959D4"/>
    <w:rsid w:val="3DE86E7D"/>
    <w:rsid w:val="44783047"/>
    <w:rsid w:val="49934A1D"/>
    <w:rsid w:val="49D56D05"/>
    <w:rsid w:val="4ECE66DF"/>
    <w:rsid w:val="52676228"/>
    <w:rsid w:val="54ED390F"/>
    <w:rsid w:val="556032CE"/>
    <w:rsid w:val="575B0CA5"/>
    <w:rsid w:val="5C0A0A99"/>
    <w:rsid w:val="5D0A2D09"/>
    <w:rsid w:val="5F9E5BC9"/>
    <w:rsid w:val="622E64B6"/>
    <w:rsid w:val="6372388F"/>
    <w:rsid w:val="68003D56"/>
    <w:rsid w:val="71740E0A"/>
    <w:rsid w:val="72E849AB"/>
    <w:rsid w:val="790745D3"/>
    <w:rsid w:val="7BC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2018-07-02T06:32:28Z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